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41" w:rsidRDefault="00780B41" w:rsidP="00780B41">
      <w:pPr>
        <w:pStyle w:val="Heading1"/>
        <w:jc w:val="center"/>
      </w:pPr>
      <w:r>
        <w:t>KCN Quality Assurance Program</w:t>
      </w:r>
    </w:p>
    <w:p w:rsidR="00FC356B" w:rsidRDefault="00CA6ECD" w:rsidP="00780B41">
      <w:pPr>
        <w:pStyle w:val="Heading1"/>
        <w:jc w:val="center"/>
      </w:pPr>
      <w:r>
        <w:t xml:space="preserve">Timeline for </w:t>
      </w:r>
      <w:r w:rsidR="00780B41">
        <w:t>2015</w:t>
      </w:r>
      <w:r w:rsidR="00B25964">
        <w:t xml:space="preserve"> </w:t>
      </w:r>
      <w:r w:rsidR="00780B41">
        <w:t>Activities</w:t>
      </w:r>
    </w:p>
    <w:p w:rsidR="00CA6ECD" w:rsidRDefault="00CA6ECD"/>
    <w:tbl>
      <w:tblPr>
        <w:tblStyle w:val="TableGrid"/>
        <w:tblW w:w="12528" w:type="dxa"/>
        <w:tblLook w:val="04A0"/>
      </w:tblPr>
      <w:tblGrid>
        <w:gridCol w:w="3783"/>
        <w:gridCol w:w="1723"/>
        <w:gridCol w:w="363"/>
        <w:gridCol w:w="377"/>
        <w:gridCol w:w="424"/>
        <w:gridCol w:w="388"/>
        <w:gridCol w:w="449"/>
        <w:gridCol w:w="403"/>
        <w:gridCol w:w="363"/>
        <w:gridCol w:w="388"/>
        <w:gridCol w:w="375"/>
        <w:gridCol w:w="449"/>
        <w:gridCol w:w="449"/>
        <w:gridCol w:w="448"/>
        <w:gridCol w:w="2146"/>
      </w:tblGrid>
      <w:tr w:rsidR="00192CA9" w:rsidTr="00192CA9">
        <w:tc>
          <w:tcPr>
            <w:tcW w:w="3785" w:type="dxa"/>
            <w:shd w:val="clear" w:color="auto" w:fill="7F7F7F" w:themeFill="text1" w:themeFillTint="80"/>
          </w:tcPr>
          <w:p w:rsidR="00192CA9" w:rsidRPr="00A54022" w:rsidRDefault="00192CA9" w:rsidP="00CA6ECD">
            <w:pPr>
              <w:rPr>
                <w:rFonts w:ascii="Arial Black" w:hAnsi="Arial Black"/>
              </w:rPr>
            </w:pPr>
            <w:r w:rsidRPr="00A54022">
              <w:rPr>
                <w:rFonts w:ascii="Arial Black" w:hAnsi="Arial Black"/>
              </w:rPr>
              <w:t xml:space="preserve">Major Activities/tasks </w:t>
            </w:r>
          </w:p>
        </w:tc>
        <w:tc>
          <w:tcPr>
            <w:tcW w:w="1723" w:type="dxa"/>
            <w:shd w:val="clear" w:color="auto" w:fill="7F7F7F" w:themeFill="text1" w:themeFillTint="80"/>
          </w:tcPr>
          <w:p w:rsidR="00192CA9" w:rsidRDefault="00192CA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Responsible Offices</w:t>
            </w:r>
          </w:p>
        </w:tc>
        <w:tc>
          <w:tcPr>
            <w:tcW w:w="4425" w:type="dxa"/>
            <w:gridSpan w:val="11"/>
            <w:shd w:val="clear" w:color="auto" w:fill="7F7F7F" w:themeFill="text1" w:themeFillTint="80"/>
          </w:tcPr>
          <w:p w:rsidR="00192CA9" w:rsidRPr="00A54022" w:rsidRDefault="00192CA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Timeline in months</w:t>
            </w:r>
          </w:p>
        </w:tc>
        <w:tc>
          <w:tcPr>
            <w:tcW w:w="448" w:type="dxa"/>
            <w:shd w:val="clear" w:color="auto" w:fill="7F7F7F" w:themeFill="text1" w:themeFillTint="80"/>
          </w:tcPr>
          <w:p w:rsidR="00192CA9" w:rsidRPr="00A54022" w:rsidRDefault="00192CA9">
            <w:pPr>
              <w:rPr>
                <w:rFonts w:ascii="Arial Black" w:hAnsi="Arial Black"/>
              </w:rPr>
            </w:pPr>
          </w:p>
        </w:tc>
        <w:tc>
          <w:tcPr>
            <w:tcW w:w="2147" w:type="dxa"/>
            <w:shd w:val="clear" w:color="auto" w:fill="7F7F7F" w:themeFill="text1" w:themeFillTint="80"/>
          </w:tcPr>
          <w:p w:rsidR="00192CA9" w:rsidRPr="00A54022" w:rsidRDefault="00192CA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Performance Indicators</w:t>
            </w:r>
          </w:p>
        </w:tc>
      </w:tr>
      <w:tr w:rsidR="00192CA9" w:rsidTr="00192CA9">
        <w:tc>
          <w:tcPr>
            <w:tcW w:w="3785" w:type="dxa"/>
            <w:shd w:val="clear" w:color="auto" w:fill="7F7F7F" w:themeFill="text1" w:themeFillTint="80"/>
          </w:tcPr>
          <w:p w:rsidR="00192CA9" w:rsidRPr="00A54022" w:rsidRDefault="00192CA9" w:rsidP="00CA6ECD">
            <w:pPr>
              <w:rPr>
                <w:rFonts w:ascii="Arial Black" w:hAnsi="Arial Black"/>
              </w:rPr>
            </w:pPr>
          </w:p>
        </w:tc>
        <w:tc>
          <w:tcPr>
            <w:tcW w:w="1723" w:type="dxa"/>
            <w:shd w:val="clear" w:color="auto" w:fill="7F7F7F" w:themeFill="text1" w:themeFillTint="80"/>
          </w:tcPr>
          <w:p w:rsidR="00192CA9" w:rsidRPr="00A54022" w:rsidRDefault="00192CA9" w:rsidP="0029495A">
            <w:pPr>
              <w:rPr>
                <w:rFonts w:ascii="Arial Black" w:hAnsi="Arial Black"/>
              </w:rPr>
            </w:pPr>
          </w:p>
        </w:tc>
        <w:tc>
          <w:tcPr>
            <w:tcW w:w="360" w:type="dxa"/>
            <w:shd w:val="clear" w:color="auto" w:fill="7F7F7F" w:themeFill="text1" w:themeFillTint="80"/>
          </w:tcPr>
          <w:p w:rsidR="00192CA9" w:rsidRDefault="00192CA9" w:rsidP="002949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</w:t>
            </w:r>
          </w:p>
        </w:tc>
        <w:tc>
          <w:tcPr>
            <w:tcW w:w="377" w:type="dxa"/>
            <w:shd w:val="clear" w:color="auto" w:fill="7F7F7F" w:themeFill="text1" w:themeFillTint="80"/>
          </w:tcPr>
          <w:p w:rsidR="00192CA9" w:rsidRPr="00A54022" w:rsidRDefault="00192CA9" w:rsidP="002949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</w:t>
            </w:r>
          </w:p>
        </w:tc>
        <w:tc>
          <w:tcPr>
            <w:tcW w:w="424" w:type="dxa"/>
            <w:shd w:val="clear" w:color="auto" w:fill="7F7F7F" w:themeFill="text1" w:themeFillTint="80"/>
          </w:tcPr>
          <w:p w:rsidR="00192CA9" w:rsidRPr="00A54022" w:rsidRDefault="00192CA9" w:rsidP="002949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</w:t>
            </w:r>
          </w:p>
        </w:tc>
        <w:tc>
          <w:tcPr>
            <w:tcW w:w="388" w:type="dxa"/>
            <w:shd w:val="clear" w:color="auto" w:fill="7F7F7F" w:themeFill="text1" w:themeFillTint="80"/>
          </w:tcPr>
          <w:p w:rsidR="00192CA9" w:rsidRPr="00A54022" w:rsidRDefault="00192CA9" w:rsidP="002949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</w:t>
            </w:r>
          </w:p>
        </w:tc>
        <w:tc>
          <w:tcPr>
            <w:tcW w:w="449" w:type="dxa"/>
            <w:shd w:val="clear" w:color="auto" w:fill="7F7F7F" w:themeFill="text1" w:themeFillTint="80"/>
          </w:tcPr>
          <w:p w:rsidR="00192CA9" w:rsidRPr="00A54022" w:rsidRDefault="00192CA9" w:rsidP="002949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</w:t>
            </w:r>
          </w:p>
        </w:tc>
        <w:tc>
          <w:tcPr>
            <w:tcW w:w="403" w:type="dxa"/>
            <w:shd w:val="clear" w:color="auto" w:fill="7F7F7F" w:themeFill="text1" w:themeFillTint="80"/>
          </w:tcPr>
          <w:p w:rsidR="00192CA9" w:rsidRPr="00A54022" w:rsidRDefault="00192CA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</w:t>
            </w:r>
          </w:p>
        </w:tc>
        <w:tc>
          <w:tcPr>
            <w:tcW w:w="363" w:type="dxa"/>
            <w:shd w:val="clear" w:color="auto" w:fill="7F7F7F" w:themeFill="text1" w:themeFillTint="80"/>
          </w:tcPr>
          <w:p w:rsidR="00192CA9" w:rsidRPr="00A54022" w:rsidRDefault="00192CA9" w:rsidP="002949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</w:t>
            </w:r>
          </w:p>
        </w:tc>
        <w:tc>
          <w:tcPr>
            <w:tcW w:w="388" w:type="dxa"/>
            <w:shd w:val="clear" w:color="auto" w:fill="7F7F7F" w:themeFill="text1" w:themeFillTint="80"/>
          </w:tcPr>
          <w:p w:rsidR="00192CA9" w:rsidRPr="00A54022" w:rsidRDefault="00192CA9" w:rsidP="002949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</w:t>
            </w:r>
          </w:p>
        </w:tc>
        <w:tc>
          <w:tcPr>
            <w:tcW w:w="375" w:type="dxa"/>
            <w:shd w:val="clear" w:color="auto" w:fill="7F7F7F" w:themeFill="text1" w:themeFillTint="80"/>
          </w:tcPr>
          <w:p w:rsidR="00192CA9" w:rsidRPr="00A54022" w:rsidRDefault="00192CA9" w:rsidP="002949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</w:t>
            </w:r>
          </w:p>
        </w:tc>
        <w:tc>
          <w:tcPr>
            <w:tcW w:w="449" w:type="dxa"/>
            <w:shd w:val="clear" w:color="auto" w:fill="7F7F7F" w:themeFill="text1" w:themeFillTint="80"/>
          </w:tcPr>
          <w:p w:rsidR="00192CA9" w:rsidRPr="00A54022" w:rsidRDefault="00192CA9" w:rsidP="002949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</w:t>
            </w:r>
          </w:p>
        </w:tc>
        <w:tc>
          <w:tcPr>
            <w:tcW w:w="449" w:type="dxa"/>
            <w:shd w:val="clear" w:color="auto" w:fill="7F7F7F" w:themeFill="text1" w:themeFillTint="80"/>
          </w:tcPr>
          <w:p w:rsidR="00192CA9" w:rsidRPr="00A54022" w:rsidRDefault="00192CA9" w:rsidP="0029495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</w:t>
            </w:r>
          </w:p>
        </w:tc>
        <w:tc>
          <w:tcPr>
            <w:tcW w:w="448" w:type="dxa"/>
            <w:shd w:val="clear" w:color="auto" w:fill="7F7F7F" w:themeFill="text1" w:themeFillTint="80"/>
          </w:tcPr>
          <w:p w:rsidR="00192CA9" w:rsidRPr="00A54022" w:rsidRDefault="00192CA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</w:t>
            </w:r>
          </w:p>
        </w:tc>
        <w:tc>
          <w:tcPr>
            <w:tcW w:w="2147" w:type="dxa"/>
            <w:shd w:val="clear" w:color="auto" w:fill="7F7F7F" w:themeFill="text1" w:themeFillTint="80"/>
          </w:tcPr>
          <w:p w:rsidR="00192CA9" w:rsidRDefault="00192CA9">
            <w:pPr>
              <w:rPr>
                <w:rFonts w:ascii="Arial Black" w:hAnsi="Arial Black"/>
              </w:rPr>
            </w:pPr>
          </w:p>
        </w:tc>
      </w:tr>
      <w:tr w:rsidR="00192CA9" w:rsidTr="00192CA9">
        <w:tc>
          <w:tcPr>
            <w:tcW w:w="3785" w:type="dxa"/>
          </w:tcPr>
          <w:p w:rsidR="00192CA9" w:rsidRDefault="00192CA9">
            <w:r>
              <w:t>Setting up the QA Unit</w:t>
            </w:r>
          </w:p>
        </w:tc>
        <w:tc>
          <w:tcPr>
            <w:tcW w:w="1723" w:type="dxa"/>
            <w:shd w:val="clear" w:color="auto" w:fill="auto"/>
          </w:tcPr>
          <w:p w:rsidR="00192CA9" w:rsidRDefault="00192CA9">
            <w:r>
              <w:t>Registrar, CFO</w:t>
            </w:r>
            <w:r w:rsidR="00C50C87">
              <w:t>, QA Unit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424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388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449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403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363" w:type="dxa"/>
          </w:tcPr>
          <w:p w:rsidR="00192CA9" w:rsidRDefault="00192CA9">
            <w:r>
              <w:t>X</w:t>
            </w:r>
          </w:p>
        </w:tc>
        <w:tc>
          <w:tcPr>
            <w:tcW w:w="388" w:type="dxa"/>
          </w:tcPr>
          <w:p w:rsidR="00192CA9" w:rsidRDefault="00192CA9"/>
        </w:tc>
        <w:tc>
          <w:tcPr>
            <w:tcW w:w="375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>
            <w:r>
              <w:t>Availability of Sec &amp; IT personnel &amp; equipment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 w:rsidP="00D04A64">
            <w:r>
              <w:t>Orientation/sensitization staff meetings</w:t>
            </w:r>
            <w:r w:rsidR="00D04A64">
              <w:t xml:space="preserve"> (KCN top management; Departments - </w:t>
            </w:r>
            <w:r>
              <w:t>LL- BT campuses</w:t>
            </w:r>
            <w:r w:rsidR="00D04A64">
              <w:t>);</w:t>
            </w:r>
            <w:r>
              <w:t xml:space="preserve"> </w:t>
            </w:r>
            <w:r w:rsidR="00D04A64">
              <w:t xml:space="preserve"> Affiliated institutions (</w:t>
            </w:r>
            <w:r>
              <w:t xml:space="preserve">MCHS (BT), </w:t>
            </w:r>
            <w:proofErr w:type="spellStart"/>
            <w:r>
              <w:t>Deayang</w:t>
            </w:r>
            <w:proofErr w:type="spellEnd"/>
            <w:r>
              <w:t>, St John of God</w:t>
            </w:r>
            <w:r w:rsidR="00D04A64">
              <w:t>); Key partners (</w:t>
            </w:r>
            <w:r>
              <w:t xml:space="preserve"> MOH, NMCM &amp; NCHE)</w:t>
            </w:r>
          </w:p>
        </w:tc>
        <w:tc>
          <w:tcPr>
            <w:tcW w:w="1723" w:type="dxa"/>
          </w:tcPr>
          <w:p w:rsidR="00192CA9" w:rsidRDefault="00192CA9">
            <w:r>
              <w:t xml:space="preserve">Deans, HODs, </w:t>
            </w:r>
            <w:r w:rsidR="00C50C87">
              <w:t>Registrar, Research Unit, CFO, QA Unit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  <w:shd w:val="clear" w:color="auto" w:fill="auto"/>
          </w:tcPr>
          <w:p w:rsidR="00192CA9" w:rsidRDefault="00192CA9"/>
        </w:tc>
        <w:tc>
          <w:tcPr>
            <w:tcW w:w="424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388" w:type="dxa"/>
          </w:tcPr>
          <w:p w:rsidR="00192CA9" w:rsidRDefault="00192CA9">
            <w:r>
              <w:t>X</w:t>
            </w:r>
          </w:p>
        </w:tc>
        <w:tc>
          <w:tcPr>
            <w:tcW w:w="449" w:type="dxa"/>
          </w:tcPr>
          <w:p w:rsidR="00192CA9" w:rsidRDefault="00D04A64">
            <w:r>
              <w:t>X</w:t>
            </w:r>
          </w:p>
        </w:tc>
        <w:tc>
          <w:tcPr>
            <w:tcW w:w="403" w:type="dxa"/>
          </w:tcPr>
          <w:p w:rsidR="00192CA9" w:rsidRDefault="00192CA9"/>
        </w:tc>
        <w:tc>
          <w:tcPr>
            <w:tcW w:w="363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375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>
            <w:r>
              <w:t>Availability of orientation reports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 w:rsidP="002B6CBB">
            <w:r>
              <w:t>Assessment of key existing institutional level inputs, processes and outputs &amp; related policies, procedures &amp; standards for measurement</w:t>
            </w:r>
          </w:p>
        </w:tc>
        <w:tc>
          <w:tcPr>
            <w:tcW w:w="1723" w:type="dxa"/>
          </w:tcPr>
          <w:p w:rsidR="00192CA9" w:rsidRDefault="002B6E63">
            <w:r>
              <w:t>Deans, HODs,</w:t>
            </w:r>
            <w:r w:rsidR="00C50C87">
              <w:t xml:space="preserve"> Registrar, Research Unit, CFO, QA Unit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  <w:shd w:val="clear" w:color="auto" w:fill="auto"/>
          </w:tcPr>
          <w:p w:rsidR="00192CA9" w:rsidRDefault="00192CA9"/>
        </w:tc>
        <w:tc>
          <w:tcPr>
            <w:tcW w:w="424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388" w:type="dxa"/>
          </w:tcPr>
          <w:p w:rsidR="00192CA9" w:rsidRDefault="00192CA9">
            <w:r>
              <w:t>X</w:t>
            </w:r>
          </w:p>
        </w:tc>
        <w:tc>
          <w:tcPr>
            <w:tcW w:w="449" w:type="dxa"/>
          </w:tcPr>
          <w:p w:rsidR="00192CA9" w:rsidRDefault="00D04A64">
            <w:r>
              <w:t>X</w:t>
            </w:r>
          </w:p>
        </w:tc>
        <w:tc>
          <w:tcPr>
            <w:tcW w:w="403" w:type="dxa"/>
          </w:tcPr>
          <w:p w:rsidR="00192CA9" w:rsidRDefault="00192CA9"/>
        </w:tc>
        <w:tc>
          <w:tcPr>
            <w:tcW w:w="363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375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>
            <w:r>
              <w:t>Availability of assessment report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 w:rsidP="002B6CBB">
            <w:r>
              <w:t>Development of institutional QA assessment tool</w:t>
            </w:r>
          </w:p>
        </w:tc>
        <w:tc>
          <w:tcPr>
            <w:tcW w:w="1723" w:type="dxa"/>
          </w:tcPr>
          <w:p w:rsidR="00192CA9" w:rsidRDefault="0029401F">
            <w:r>
              <w:t xml:space="preserve">QA, </w:t>
            </w:r>
            <w:r w:rsidR="002B6E63">
              <w:t>Deans, HODs,</w:t>
            </w:r>
            <w:r w:rsidR="00C50C87">
              <w:t xml:space="preserve"> 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424" w:type="dxa"/>
            <w:shd w:val="clear" w:color="auto" w:fill="FFFFFF" w:themeFill="background1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03" w:type="dxa"/>
          </w:tcPr>
          <w:p w:rsidR="00192CA9" w:rsidRDefault="00192CA9"/>
        </w:tc>
        <w:tc>
          <w:tcPr>
            <w:tcW w:w="363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375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>
            <w:r>
              <w:t>Availability of assessment tool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 w:rsidP="00BC6968">
            <w:r>
              <w:t>Data Analysis and report writing</w:t>
            </w:r>
          </w:p>
        </w:tc>
        <w:tc>
          <w:tcPr>
            <w:tcW w:w="1723" w:type="dxa"/>
          </w:tcPr>
          <w:p w:rsidR="00192CA9" w:rsidRDefault="002B6E63">
            <w:r>
              <w:t>Deans, HODs,</w:t>
            </w:r>
            <w:r w:rsidR="00C50C87">
              <w:t xml:space="preserve"> Registrar, Research Unit, CFO, QA Unit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</w:tcPr>
          <w:p w:rsidR="00192CA9" w:rsidRDefault="00192CA9"/>
        </w:tc>
        <w:tc>
          <w:tcPr>
            <w:tcW w:w="424" w:type="dxa"/>
          </w:tcPr>
          <w:p w:rsidR="00192CA9" w:rsidRDefault="00192CA9"/>
        </w:tc>
        <w:tc>
          <w:tcPr>
            <w:tcW w:w="388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449" w:type="dxa"/>
          </w:tcPr>
          <w:p w:rsidR="00192CA9" w:rsidRDefault="00192CA9"/>
        </w:tc>
        <w:tc>
          <w:tcPr>
            <w:tcW w:w="403" w:type="dxa"/>
          </w:tcPr>
          <w:p w:rsidR="00192CA9" w:rsidRDefault="00192CA9"/>
        </w:tc>
        <w:tc>
          <w:tcPr>
            <w:tcW w:w="363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375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>
            <w:r>
              <w:t>Availability of report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 w:rsidP="00B25964">
            <w:r>
              <w:t xml:space="preserve">Consultations on key policy issues for the QA program and setting up a working group/task force to spearhead </w:t>
            </w:r>
            <w:r w:rsidR="0029401F">
              <w:t xml:space="preserve">College </w:t>
            </w:r>
            <w:r>
              <w:t xml:space="preserve">QA policy development </w:t>
            </w:r>
          </w:p>
        </w:tc>
        <w:tc>
          <w:tcPr>
            <w:tcW w:w="1723" w:type="dxa"/>
          </w:tcPr>
          <w:p w:rsidR="00192CA9" w:rsidRDefault="002B6E63">
            <w:r>
              <w:t xml:space="preserve">Deans, HODs, Registrar, </w:t>
            </w:r>
            <w:r w:rsidR="00C50C87">
              <w:t>CFO, Research Unit, QA Unit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</w:tcPr>
          <w:p w:rsidR="00192CA9" w:rsidRDefault="00192CA9"/>
        </w:tc>
        <w:tc>
          <w:tcPr>
            <w:tcW w:w="424" w:type="dxa"/>
          </w:tcPr>
          <w:p w:rsidR="00192CA9" w:rsidRDefault="00192CA9"/>
        </w:tc>
        <w:tc>
          <w:tcPr>
            <w:tcW w:w="388" w:type="dxa"/>
            <w:shd w:val="clear" w:color="auto" w:fill="auto"/>
          </w:tcPr>
          <w:p w:rsidR="00192CA9" w:rsidRDefault="00192CA9"/>
        </w:tc>
        <w:tc>
          <w:tcPr>
            <w:tcW w:w="449" w:type="dxa"/>
          </w:tcPr>
          <w:p w:rsidR="00192CA9" w:rsidRDefault="00192CA9">
            <w:r>
              <w:t>X</w:t>
            </w:r>
          </w:p>
        </w:tc>
        <w:tc>
          <w:tcPr>
            <w:tcW w:w="403" w:type="dxa"/>
          </w:tcPr>
          <w:p w:rsidR="00192CA9" w:rsidRDefault="00192CA9">
            <w:r>
              <w:t>X</w:t>
            </w:r>
          </w:p>
        </w:tc>
        <w:tc>
          <w:tcPr>
            <w:tcW w:w="363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375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>
            <w:r>
              <w:t>An outline of key QA policy issues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 w:rsidP="00A54022">
            <w:r>
              <w:lastRenderedPageBreak/>
              <w:t>Drafting of KCN QA policy framework</w:t>
            </w:r>
          </w:p>
        </w:tc>
        <w:tc>
          <w:tcPr>
            <w:tcW w:w="1723" w:type="dxa"/>
          </w:tcPr>
          <w:p w:rsidR="00192CA9" w:rsidRDefault="002B6E63">
            <w:r>
              <w:t>Deans, HODs, Registrar, Research Unit, CFO, QA Unit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</w:tcPr>
          <w:p w:rsidR="00192CA9" w:rsidRDefault="00192CA9"/>
        </w:tc>
        <w:tc>
          <w:tcPr>
            <w:tcW w:w="424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449" w:type="dxa"/>
            <w:shd w:val="clear" w:color="auto" w:fill="auto"/>
          </w:tcPr>
          <w:p w:rsidR="00192CA9" w:rsidRDefault="00192CA9"/>
        </w:tc>
        <w:tc>
          <w:tcPr>
            <w:tcW w:w="403" w:type="dxa"/>
          </w:tcPr>
          <w:p w:rsidR="00192CA9" w:rsidRDefault="00192CA9">
            <w:r>
              <w:t>X</w:t>
            </w:r>
          </w:p>
        </w:tc>
        <w:tc>
          <w:tcPr>
            <w:tcW w:w="363" w:type="dxa"/>
          </w:tcPr>
          <w:p w:rsidR="00192CA9" w:rsidRDefault="00192CA9">
            <w:r>
              <w:t>X</w:t>
            </w:r>
          </w:p>
        </w:tc>
        <w:tc>
          <w:tcPr>
            <w:tcW w:w="388" w:type="dxa"/>
          </w:tcPr>
          <w:p w:rsidR="00192CA9" w:rsidRDefault="00192CA9"/>
        </w:tc>
        <w:tc>
          <w:tcPr>
            <w:tcW w:w="375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>
            <w:r>
              <w:t>Availability of draft QA policy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>
            <w:r>
              <w:t>Policy dialogue (engaging partners)</w:t>
            </w:r>
          </w:p>
        </w:tc>
        <w:tc>
          <w:tcPr>
            <w:tcW w:w="1723" w:type="dxa"/>
          </w:tcPr>
          <w:p w:rsidR="00192CA9" w:rsidRDefault="00801C5B">
            <w:r>
              <w:t xml:space="preserve">QA, Registrar, </w:t>
            </w:r>
            <w:r w:rsidR="002B6E63">
              <w:t>Deans, HODs,</w:t>
            </w:r>
            <w:r>
              <w:t xml:space="preserve"> Research Unit</w:t>
            </w:r>
          </w:p>
          <w:p w:rsidR="00047C09" w:rsidRDefault="00047C09"/>
          <w:p w:rsidR="00047C09" w:rsidRDefault="00047C09"/>
          <w:p w:rsidR="00047C09" w:rsidRDefault="00047C09"/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</w:tcPr>
          <w:p w:rsidR="00192CA9" w:rsidRDefault="00192CA9"/>
        </w:tc>
        <w:tc>
          <w:tcPr>
            <w:tcW w:w="424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03" w:type="dxa"/>
            <w:shd w:val="clear" w:color="auto" w:fill="auto"/>
          </w:tcPr>
          <w:p w:rsidR="00192CA9" w:rsidRDefault="00192CA9"/>
        </w:tc>
        <w:tc>
          <w:tcPr>
            <w:tcW w:w="363" w:type="dxa"/>
          </w:tcPr>
          <w:p w:rsidR="00192CA9" w:rsidRDefault="00192CA9">
            <w:r>
              <w:t>X</w:t>
            </w:r>
          </w:p>
        </w:tc>
        <w:tc>
          <w:tcPr>
            <w:tcW w:w="388" w:type="dxa"/>
          </w:tcPr>
          <w:p w:rsidR="00192CA9" w:rsidRDefault="00192CA9"/>
        </w:tc>
        <w:tc>
          <w:tcPr>
            <w:tcW w:w="375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>
            <w:r>
              <w:t xml:space="preserve">Availability of report 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>
            <w:r>
              <w:t>Finalization of policy framework with implementation &amp; M&amp;E frameworks</w:t>
            </w:r>
          </w:p>
        </w:tc>
        <w:tc>
          <w:tcPr>
            <w:tcW w:w="1723" w:type="dxa"/>
          </w:tcPr>
          <w:p w:rsidR="00192CA9" w:rsidRDefault="002B6E63">
            <w:r>
              <w:t>Deans, HODs, Registrar, Research Unit, CFO, QA Unit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</w:tcPr>
          <w:p w:rsidR="00192CA9" w:rsidRDefault="00192CA9"/>
        </w:tc>
        <w:tc>
          <w:tcPr>
            <w:tcW w:w="424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03" w:type="dxa"/>
          </w:tcPr>
          <w:p w:rsidR="00192CA9" w:rsidRDefault="00192CA9"/>
        </w:tc>
        <w:tc>
          <w:tcPr>
            <w:tcW w:w="363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388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375" w:type="dxa"/>
          </w:tcPr>
          <w:p w:rsidR="00192CA9" w:rsidRDefault="00192CA9">
            <w:r>
              <w:t>X</w:t>
            </w:r>
          </w:p>
        </w:tc>
        <w:tc>
          <w:tcPr>
            <w:tcW w:w="449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>
            <w:r>
              <w:t xml:space="preserve">Availability of final QA policy 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>
            <w:r>
              <w:t>Development of unavailable QA measurement tools (</w:t>
            </w:r>
            <w:proofErr w:type="spellStart"/>
            <w:r>
              <w:t>e.g</w:t>
            </w:r>
            <w:proofErr w:type="spellEnd"/>
            <w:r>
              <w:t xml:space="preserve"> teacher self – or peer teaching evaluation tool) </w:t>
            </w:r>
          </w:p>
        </w:tc>
        <w:tc>
          <w:tcPr>
            <w:tcW w:w="1723" w:type="dxa"/>
          </w:tcPr>
          <w:p w:rsidR="00192CA9" w:rsidRDefault="002B6E63">
            <w:r>
              <w:t>Deans, HODs, Registrar, Research Unit, CFO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</w:tcPr>
          <w:p w:rsidR="00192CA9" w:rsidRDefault="00192CA9"/>
        </w:tc>
        <w:tc>
          <w:tcPr>
            <w:tcW w:w="424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449" w:type="dxa"/>
          </w:tcPr>
          <w:p w:rsidR="00192CA9" w:rsidRDefault="00192CA9">
            <w:r>
              <w:t>X</w:t>
            </w:r>
          </w:p>
        </w:tc>
        <w:tc>
          <w:tcPr>
            <w:tcW w:w="403" w:type="dxa"/>
          </w:tcPr>
          <w:p w:rsidR="00192CA9" w:rsidRDefault="00192CA9">
            <w:r>
              <w:t>X</w:t>
            </w:r>
          </w:p>
        </w:tc>
        <w:tc>
          <w:tcPr>
            <w:tcW w:w="363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388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375" w:type="dxa"/>
          </w:tcPr>
          <w:p w:rsidR="00192CA9" w:rsidRDefault="00192CA9">
            <w:r>
              <w:t>X</w:t>
            </w:r>
          </w:p>
        </w:tc>
        <w:tc>
          <w:tcPr>
            <w:tcW w:w="449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>
            <w:r>
              <w:t>Availability of key QA measurement tools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>
            <w:r>
              <w:t>Establishment of a capacity enhancement programme ( in collaboration with CUTL)</w:t>
            </w:r>
          </w:p>
        </w:tc>
        <w:tc>
          <w:tcPr>
            <w:tcW w:w="1723" w:type="dxa"/>
          </w:tcPr>
          <w:p w:rsidR="00192CA9" w:rsidRDefault="002B6E63">
            <w:r>
              <w:t>Deans, HODs, QA Unit, CFO, Registrar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</w:tcPr>
          <w:p w:rsidR="00192CA9" w:rsidRDefault="00192CA9"/>
        </w:tc>
        <w:tc>
          <w:tcPr>
            <w:tcW w:w="424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449" w:type="dxa"/>
          </w:tcPr>
          <w:p w:rsidR="00192CA9" w:rsidRDefault="00192CA9"/>
        </w:tc>
        <w:tc>
          <w:tcPr>
            <w:tcW w:w="403" w:type="dxa"/>
          </w:tcPr>
          <w:p w:rsidR="00192CA9" w:rsidRDefault="00192CA9"/>
        </w:tc>
        <w:tc>
          <w:tcPr>
            <w:tcW w:w="363" w:type="dxa"/>
            <w:shd w:val="clear" w:color="auto" w:fill="FFFFFF" w:themeFill="background1"/>
          </w:tcPr>
          <w:p w:rsidR="00192CA9" w:rsidRDefault="00192CA9"/>
        </w:tc>
        <w:tc>
          <w:tcPr>
            <w:tcW w:w="388" w:type="dxa"/>
            <w:shd w:val="clear" w:color="auto" w:fill="FFFFFF" w:themeFill="background1"/>
          </w:tcPr>
          <w:p w:rsidR="00192CA9" w:rsidRDefault="00192CA9"/>
        </w:tc>
        <w:tc>
          <w:tcPr>
            <w:tcW w:w="375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449" w:type="dxa"/>
          </w:tcPr>
          <w:p w:rsidR="00192CA9" w:rsidRDefault="00192CA9">
            <w:r>
              <w:t>X</w:t>
            </w:r>
          </w:p>
        </w:tc>
        <w:tc>
          <w:tcPr>
            <w:tcW w:w="449" w:type="dxa"/>
          </w:tcPr>
          <w:p w:rsidR="00192CA9" w:rsidRDefault="00192CA9"/>
        </w:tc>
        <w:tc>
          <w:tcPr>
            <w:tcW w:w="448" w:type="dxa"/>
          </w:tcPr>
          <w:p w:rsidR="00192CA9" w:rsidRDefault="00192CA9"/>
        </w:tc>
        <w:tc>
          <w:tcPr>
            <w:tcW w:w="2147" w:type="dxa"/>
          </w:tcPr>
          <w:p w:rsidR="00192CA9" w:rsidRDefault="00192CA9" w:rsidP="009504A1">
            <w:r>
              <w:t xml:space="preserve">Availability of technical capacity building Plan </w:t>
            </w:r>
          </w:p>
        </w:tc>
      </w:tr>
      <w:tr w:rsidR="00192CA9" w:rsidTr="00192CA9">
        <w:tc>
          <w:tcPr>
            <w:tcW w:w="3785" w:type="dxa"/>
          </w:tcPr>
          <w:p w:rsidR="00192CA9" w:rsidRDefault="00192CA9">
            <w:r>
              <w:t>Resource mobilization</w:t>
            </w:r>
          </w:p>
        </w:tc>
        <w:tc>
          <w:tcPr>
            <w:tcW w:w="1723" w:type="dxa"/>
          </w:tcPr>
          <w:p w:rsidR="00192CA9" w:rsidRDefault="002B6E63" w:rsidP="00712795">
            <w:r>
              <w:t>Deans, HODs, CFO, QA Uni</w:t>
            </w:r>
            <w:r w:rsidR="00712795">
              <w:t>t, Registrar</w:t>
            </w:r>
          </w:p>
        </w:tc>
        <w:tc>
          <w:tcPr>
            <w:tcW w:w="360" w:type="dxa"/>
          </w:tcPr>
          <w:p w:rsidR="00192CA9" w:rsidRDefault="00192CA9"/>
        </w:tc>
        <w:tc>
          <w:tcPr>
            <w:tcW w:w="377" w:type="dxa"/>
          </w:tcPr>
          <w:p w:rsidR="00192CA9" w:rsidRDefault="00192CA9"/>
        </w:tc>
        <w:tc>
          <w:tcPr>
            <w:tcW w:w="424" w:type="dxa"/>
          </w:tcPr>
          <w:p w:rsidR="00192CA9" w:rsidRDefault="00192CA9"/>
        </w:tc>
        <w:tc>
          <w:tcPr>
            <w:tcW w:w="388" w:type="dxa"/>
          </w:tcPr>
          <w:p w:rsidR="00192CA9" w:rsidRDefault="00192CA9"/>
        </w:tc>
        <w:tc>
          <w:tcPr>
            <w:tcW w:w="449" w:type="dxa"/>
          </w:tcPr>
          <w:p w:rsidR="00192CA9" w:rsidRDefault="00192CA9">
            <w:r>
              <w:t>X</w:t>
            </w:r>
          </w:p>
        </w:tc>
        <w:tc>
          <w:tcPr>
            <w:tcW w:w="403" w:type="dxa"/>
          </w:tcPr>
          <w:p w:rsidR="00192CA9" w:rsidRDefault="00192CA9">
            <w:r>
              <w:t>X</w:t>
            </w:r>
          </w:p>
        </w:tc>
        <w:tc>
          <w:tcPr>
            <w:tcW w:w="363" w:type="dxa"/>
            <w:shd w:val="clear" w:color="auto" w:fill="FFFFFF" w:themeFill="background1"/>
          </w:tcPr>
          <w:p w:rsidR="00192CA9" w:rsidRDefault="00192CA9">
            <w:r>
              <w:t>X</w:t>
            </w:r>
          </w:p>
        </w:tc>
        <w:tc>
          <w:tcPr>
            <w:tcW w:w="388" w:type="dxa"/>
            <w:shd w:val="clear" w:color="auto" w:fill="FFFFFF" w:themeFill="background1"/>
          </w:tcPr>
          <w:p w:rsidR="00192CA9" w:rsidRDefault="00192CA9">
            <w:r>
              <w:t>X</w:t>
            </w:r>
          </w:p>
        </w:tc>
        <w:tc>
          <w:tcPr>
            <w:tcW w:w="375" w:type="dxa"/>
            <w:shd w:val="clear" w:color="auto" w:fill="auto"/>
          </w:tcPr>
          <w:p w:rsidR="00192CA9" w:rsidRDefault="00192CA9">
            <w:r>
              <w:t>X</w:t>
            </w:r>
          </w:p>
        </w:tc>
        <w:tc>
          <w:tcPr>
            <w:tcW w:w="449" w:type="dxa"/>
          </w:tcPr>
          <w:p w:rsidR="00192CA9" w:rsidRDefault="00192CA9">
            <w:r>
              <w:t>X</w:t>
            </w:r>
          </w:p>
        </w:tc>
        <w:tc>
          <w:tcPr>
            <w:tcW w:w="449" w:type="dxa"/>
          </w:tcPr>
          <w:p w:rsidR="00192CA9" w:rsidRDefault="00192CA9">
            <w:r>
              <w:t>X</w:t>
            </w:r>
          </w:p>
        </w:tc>
        <w:tc>
          <w:tcPr>
            <w:tcW w:w="448" w:type="dxa"/>
          </w:tcPr>
          <w:p w:rsidR="00192CA9" w:rsidRDefault="00192CA9">
            <w:r>
              <w:t>X</w:t>
            </w:r>
          </w:p>
        </w:tc>
        <w:tc>
          <w:tcPr>
            <w:tcW w:w="2147" w:type="dxa"/>
          </w:tcPr>
          <w:p w:rsidR="00192CA9" w:rsidRDefault="00192CA9" w:rsidP="00FC74C4">
            <w:r>
              <w:t xml:space="preserve">Availability of  proposals </w:t>
            </w:r>
          </w:p>
        </w:tc>
      </w:tr>
    </w:tbl>
    <w:p w:rsidR="00CA6ECD" w:rsidRDefault="00CA6ECD"/>
    <w:p w:rsidR="00CA6ECD" w:rsidRDefault="00CA6ECD"/>
    <w:sectPr w:rsidR="00CA6ECD" w:rsidSect="00192CA9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64" w:rsidRDefault="00D04A64" w:rsidP="00D04A64">
      <w:pPr>
        <w:spacing w:after="0" w:line="240" w:lineRule="auto"/>
      </w:pPr>
      <w:r>
        <w:separator/>
      </w:r>
    </w:p>
  </w:endnote>
  <w:endnote w:type="continuationSeparator" w:id="0">
    <w:p w:rsidR="00D04A64" w:rsidRDefault="00D04A64" w:rsidP="00D0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7657"/>
      <w:docPartObj>
        <w:docPartGallery w:val="Page Numbers (Bottom of Page)"/>
        <w:docPartUnique/>
      </w:docPartObj>
    </w:sdtPr>
    <w:sdtContent>
      <w:p w:rsidR="00D04A64" w:rsidRDefault="00D04A64">
        <w:pPr>
          <w:pStyle w:val="Footer"/>
          <w:jc w:val="center"/>
        </w:pPr>
        <w:fldSimple w:instr=" PAGE   \* MERGEFORMAT ">
          <w:r w:rsidR="00047C09">
            <w:rPr>
              <w:noProof/>
            </w:rPr>
            <w:t>1</w:t>
          </w:r>
        </w:fldSimple>
      </w:p>
    </w:sdtContent>
  </w:sdt>
  <w:p w:rsidR="00D04A64" w:rsidRDefault="00D04A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64" w:rsidRDefault="00D04A64" w:rsidP="00D04A64">
      <w:pPr>
        <w:spacing w:after="0" w:line="240" w:lineRule="auto"/>
      </w:pPr>
      <w:r>
        <w:separator/>
      </w:r>
    </w:p>
  </w:footnote>
  <w:footnote w:type="continuationSeparator" w:id="0">
    <w:p w:rsidR="00D04A64" w:rsidRDefault="00D04A64" w:rsidP="00D04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ECD"/>
    <w:rsid w:val="0001532B"/>
    <w:rsid w:val="00047C09"/>
    <w:rsid w:val="00192CA9"/>
    <w:rsid w:val="0029401F"/>
    <w:rsid w:val="0029495A"/>
    <w:rsid w:val="002B541E"/>
    <w:rsid w:val="002B6CBB"/>
    <w:rsid w:val="002B6E63"/>
    <w:rsid w:val="003B6BCE"/>
    <w:rsid w:val="00427BCE"/>
    <w:rsid w:val="004F6865"/>
    <w:rsid w:val="00712795"/>
    <w:rsid w:val="00780B41"/>
    <w:rsid w:val="00801C5B"/>
    <w:rsid w:val="009504A1"/>
    <w:rsid w:val="009632B9"/>
    <w:rsid w:val="009A1431"/>
    <w:rsid w:val="009C4A02"/>
    <w:rsid w:val="009F1165"/>
    <w:rsid w:val="00A54022"/>
    <w:rsid w:val="00A960C8"/>
    <w:rsid w:val="00B25964"/>
    <w:rsid w:val="00B8216D"/>
    <w:rsid w:val="00BC6968"/>
    <w:rsid w:val="00C50C87"/>
    <w:rsid w:val="00CA6ECD"/>
    <w:rsid w:val="00D04A64"/>
    <w:rsid w:val="00D13017"/>
    <w:rsid w:val="00E9164D"/>
    <w:rsid w:val="00FC356B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6B"/>
  </w:style>
  <w:style w:type="paragraph" w:styleId="Heading1">
    <w:name w:val="heading 1"/>
    <w:basedOn w:val="Normal"/>
    <w:next w:val="Normal"/>
    <w:link w:val="Heading1Char"/>
    <w:uiPriority w:val="9"/>
    <w:qFormat/>
    <w:rsid w:val="00A54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54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0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A64"/>
  </w:style>
  <w:style w:type="paragraph" w:styleId="Footer">
    <w:name w:val="footer"/>
    <w:basedOn w:val="Normal"/>
    <w:link w:val="FooterChar"/>
    <w:uiPriority w:val="99"/>
    <w:unhideWhenUsed/>
    <w:rsid w:val="00D0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M.PHIRI</dc:creator>
  <cp:lastModifiedBy>USER</cp:lastModifiedBy>
  <cp:revision>16</cp:revision>
  <dcterms:created xsi:type="dcterms:W3CDTF">2015-02-10T20:18:00Z</dcterms:created>
  <dcterms:modified xsi:type="dcterms:W3CDTF">2015-03-11T10:05:00Z</dcterms:modified>
</cp:coreProperties>
</file>